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Chart of Accounts (COA) Maintenance</w:t>
      </w:r>
    </w:p>
    <w:p w:rsidR="00000000" w:rsidDel="00000000" w:rsidP="00000000" w:rsidRDefault="00000000" w:rsidRPr="00000000" w14:paraId="00000002">
      <w:pPr>
        <w:spacing w:after="120" w:before="12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ACCOUNT REQUEST - NEW</w:t>
      </w:r>
    </w:p>
    <w:p w:rsidR="00000000" w:rsidDel="00000000" w:rsidP="00000000" w:rsidRDefault="00000000" w:rsidRPr="00000000" w14:paraId="00000003">
      <w:pPr>
        <w:spacing w:after="120" w:lineRule="auto"/>
        <w:rPr>
          <w:rFonts w:ascii="Arial" w:cs="Arial" w:eastAsia="Arial" w:hAnsi="Arial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Use this form to request the setup of a revenue or expense account. The effective date for an account is April 1 of the current fiscal year.</w:t>
        <w:br w:type="textWrapping"/>
        <w:t xml:space="preserve">Note: If requesting a new asset or liability account, the Senior Finance Partner (SFP) will provide details via email to fscoarpt@ualberta.ca.</w:t>
      </w:r>
    </w:p>
    <w:p w:rsidR="00000000" w:rsidDel="00000000" w:rsidP="00000000" w:rsidRDefault="00000000" w:rsidRPr="00000000" w14:paraId="00000004">
      <w:pPr>
        <w:spacing w:after="120" w:before="12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An account is a number used in the University's general ledger to identify a unique expense, revenue, asset, liability or net asset activity. </w:t>
      </w:r>
    </w:p>
    <w:p w:rsidR="00000000" w:rsidDel="00000000" w:rsidP="00000000" w:rsidRDefault="00000000" w:rsidRPr="00000000" w14:paraId="00000005">
      <w:pPr>
        <w:spacing w:after="120" w:before="12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To confirm that no existing account is appropriate for the purpose described below, refer to Guide: Chart of Accounts (COA)\ COA General Ledger (GL) Accounts – Complete list. </w:t>
      </w:r>
    </w:p>
    <w:p w:rsidR="00000000" w:rsidDel="00000000" w:rsidP="00000000" w:rsidRDefault="00000000" w:rsidRPr="00000000" w14:paraId="00000006">
      <w:pPr>
        <w:spacing w:after="120" w:before="12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78.000000000002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46"/>
        <w:gridCol w:w="4286"/>
        <w:gridCol w:w="4046"/>
        <w:tblGridChange w:id="0">
          <w:tblGrid>
            <w:gridCol w:w="2746"/>
            <w:gridCol w:w="4286"/>
            <w:gridCol w:w="4046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spacing w:after="40" w:before="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Account name</w:t>
            </w:r>
          </w:p>
          <w:p w:rsidR="00000000" w:rsidDel="00000000" w:rsidP="00000000" w:rsidRDefault="00000000" w:rsidRPr="00000000" w14:paraId="00000008">
            <w:pPr>
              <w:spacing w:after="40" w:before="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(max. 30 characters)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after="40" w:before="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after="40" w:before="40" w:lineRule="auto"/>
              <w:rPr>
                <w:rFonts w:ascii="Arial" w:cs="Arial" w:eastAsia="Arial" w:hAnsi="Arial"/>
                <w:color w:val="3366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Select account type: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40" w:before="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3366ff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Revenue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3366ff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Expense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spacing w:after="40" w:before="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purpose of the information below is to assess the appropriateness of the request.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spacing w:after="40" w:before="40" w:lineRule="auto"/>
              <w:ind w:left="-28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Purpose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spacing w:after="40" w:before="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40" w:before="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ind w:left="-28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How will transactions be</w:t>
            </w:r>
          </w:p>
          <w:p w:rsidR="00000000" w:rsidDel="00000000" w:rsidP="00000000" w:rsidRDefault="00000000" w:rsidRPr="00000000" w14:paraId="00000014">
            <w:pPr>
              <w:ind w:left="-28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processed?</w:t>
            </w:r>
          </w:p>
          <w:p w:rsidR="00000000" w:rsidDel="00000000" w:rsidP="00000000" w:rsidRDefault="00000000" w:rsidRPr="00000000" w14:paraId="00000015">
            <w:pPr>
              <w:spacing w:after="40" w:before="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(e.g. Accounts Payable)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spacing w:after="40" w:before="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Anticipated annual dollar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amount (must be greater than $100,000)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spacing w:after="40" w:before="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spacing w:after="40" w:before="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Anticipated number of</w:t>
            </w:r>
          </w:p>
          <w:p w:rsidR="00000000" w:rsidDel="00000000" w:rsidP="00000000" w:rsidRDefault="00000000" w:rsidRPr="00000000" w14:paraId="0000001D">
            <w:pPr>
              <w:spacing w:after="40" w:before="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annual transactions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spacing w:after="40" w:before="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78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78"/>
        <w:tblGridChange w:id="0">
          <w:tblGrid>
            <w:gridCol w:w="11078"/>
          </w:tblGrid>
        </w:tblGridChange>
      </w:tblGrid>
      <w:tr>
        <w:trPr>
          <w:cantSplit w:val="0"/>
          <w:trHeight w:val="8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ROUTING INSTRUCTIONS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Senior Finance Partner (SFP) emails completed form to Financial Reporting, fscoarpt@ualberta.ca.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 make a change to an existing account, SFP sends an email explaining requested change to Financial Reporting, fscoarpt@ualberta.ca.</w:t>
            </w:r>
          </w:p>
          <w:p w:rsidR="00000000" w:rsidDel="00000000" w:rsidP="00000000" w:rsidRDefault="00000000" w:rsidRPr="00000000" w14:paraId="00000026">
            <w:pPr>
              <w:pStyle w:val="Heading2"/>
              <w:spacing w:after="40" w:lineRule="auto"/>
              <w:rPr>
                <w:b w:val="0"/>
                <w:sz w:val="18"/>
                <w:szCs w:val="18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Style w:val="Heading2"/>
              <w:spacing w:after="40" w:lineRule="auto"/>
              <w:rPr>
                <w:b w:val="0"/>
                <w:sz w:val="18"/>
                <w:szCs w:val="18"/>
                <w:u w:val="none"/>
              </w:rPr>
            </w:pPr>
            <w:r w:rsidDel="00000000" w:rsidR="00000000" w:rsidRPr="00000000">
              <w:rPr>
                <w:b w:val="0"/>
                <w:sz w:val="18"/>
                <w:szCs w:val="18"/>
                <w:u w:val="none"/>
                <w:rtl w:val="0"/>
              </w:rPr>
              <w:t xml:space="preserve">ChartField requests will be processed on the first business day of each week for all requests received the previous week; SFP will be notified if this timing cannot be met.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567" w:top="567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Last updated: October 2024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3"/>
      <w:tblW w:w="11106.0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559"/>
      <w:gridCol w:w="5547"/>
      <w:tblGridChange w:id="0">
        <w:tblGrid>
          <w:gridCol w:w="5559"/>
          <w:gridCol w:w="5547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right" w:leader="none" w:pos="1034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UNIVERSITY OF ALBERTA</w:t>
            <w:tab/>
          </w:r>
        </w:p>
      </w:tc>
      <w:tc>
        <w:tcPr/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right" w:leader="none" w:pos="10348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Financial Reporting</w:t>
          </w:r>
        </w:p>
      </w:tc>
    </w:tr>
  </w:tbl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034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80808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808080"/>
        <w:sz w:val="28"/>
        <w:szCs w:val="28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8421F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 w:val="1"/>
    <w:rsid w:val="00834FF8"/>
    <w:pPr>
      <w:keepNext w:val="1"/>
      <w:outlineLvl w:val="1"/>
    </w:pPr>
    <w:rPr>
      <w:rFonts w:ascii="Arial" w:eastAsia="Times New Roman" w:hAnsi="Arial"/>
      <w:b w:val="1"/>
      <w:sz w:val="20"/>
      <w:szCs w:val="20"/>
      <w:u w:val="singl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18421F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AA3519"/>
    <w:pPr>
      <w:tabs>
        <w:tab w:val="center" w:pos="4680"/>
        <w:tab w:val="right" w:pos="9360"/>
      </w:tabs>
    </w:pPr>
    <w:rPr>
      <w:lang w:eastAsia="x-none" w:val="x-none"/>
    </w:rPr>
  </w:style>
  <w:style w:type="character" w:styleId="HeaderChar" w:customStyle="1">
    <w:name w:val="Header Char"/>
    <w:link w:val="Header"/>
    <w:uiPriority w:val="99"/>
    <w:rsid w:val="00AA351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AA3519"/>
    <w:pPr>
      <w:tabs>
        <w:tab w:val="center" w:pos="4680"/>
        <w:tab w:val="right" w:pos="9360"/>
      </w:tabs>
    </w:pPr>
    <w:rPr>
      <w:lang w:eastAsia="x-none" w:val="x-none"/>
    </w:rPr>
  </w:style>
  <w:style w:type="character" w:styleId="FooterChar" w:customStyle="1">
    <w:name w:val="Footer Char"/>
    <w:link w:val="Footer"/>
    <w:uiPriority w:val="99"/>
    <w:rsid w:val="00AA3519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A3519"/>
    <w:rPr>
      <w:rFonts w:ascii="Tahoma" w:hAnsi="Tahoma"/>
      <w:sz w:val="16"/>
      <w:szCs w:val="16"/>
      <w:lang w:eastAsia="x-none" w:val="x-none"/>
    </w:rPr>
  </w:style>
  <w:style w:type="character" w:styleId="BalloonTextChar" w:customStyle="1">
    <w:name w:val="Balloon Text Char"/>
    <w:link w:val="BalloonText"/>
    <w:uiPriority w:val="99"/>
    <w:semiHidden w:val="1"/>
    <w:rsid w:val="00AA3519"/>
    <w:rPr>
      <w:rFonts w:ascii="Tahoma" w:cs="Tahoma" w:hAnsi="Tahoma"/>
      <w:sz w:val="16"/>
      <w:szCs w:val="16"/>
    </w:rPr>
  </w:style>
  <w:style w:type="character" w:styleId="Hyperlink">
    <w:name w:val="Hyperlink"/>
    <w:uiPriority w:val="99"/>
    <w:semiHidden w:val="1"/>
    <w:unhideWhenUsed w:val="1"/>
    <w:rsid w:val="00C141A6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BA0EF9"/>
    <w:pPr>
      <w:spacing w:after="120" w:before="120"/>
      <w:ind w:left="720"/>
      <w:contextualSpacing w:val="1"/>
    </w:pPr>
    <w:rPr>
      <w:rFonts w:ascii="Arial" w:eastAsia="Times New Roman" w:hAnsi="Arial"/>
      <w:sz w:val="20"/>
    </w:rPr>
  </w:style>
  <w:style w:type="paragraph" w:styleId="NormalWeb">
    <w:name w:val="Normal (Web)"/>
    <w:basedOn w:val="Normal"/>
    <w:uiPriority w:val="99"/>
    <w:unhideWhenUsed w:val="1"/>
    <w:rsid w:val="00CD4CF4"/>
    <w:pPr>
      <w:spacing w:after="100" w:afterAutospacing="1" w:before="100" w:beforeAutospacing="1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75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47551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475515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75515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75515"/>
    <w:rPr>
      <w:rFonts w:ascii="Times New Roman" w:hAnsi="Times New Roman"/>
      <w:b w:val="1"/>
      <w:bCs w:val="1"/>
    </w:rPr>
  </w:style>
  <w:style w:type="character" w:styleId="Heading2Char" w:customStyle="1">
    <w:name w:val="Heading 2 Char"/>
    <w:basedOn w:val="DefaultParagraphFont"/>
    <w:link w:val="Heading2"/>
    <w:rsid w:val="00834FF8"/>
    <w:rPr>
      <w:rFonts w:ascii="Arial" w:eastAsia="Times New Roman" w:hAnsi="Arial"/>
      <w:b w:val="1"/>
      <w:u w:val="single"/>
    </w:rPr>
  </w:style>
  <w:style w:type="character" w:styleId="PlaceholderText">
    <w:name w:val="Placeholder Text"/>
    <w:basedOn w:val="DefaultParagraphFont"/>
    <w:uiPriority w:val="99"/>
    <w:semiHidden w:val="1"/>
    <w:rsid w:val="00402EA2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FY/1M+zaNYyC2nUeL7gb85U9XQ==">CgMxLjAyCGguZ2pkZ3hzOAByITFYb19EWVpWbkRsRm1vVnQ5SjlPaXE3NERlQ0xMSmZ2Qw==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2024-05-15T22:23:00Z</dcterms:created>
  <dc:creator>Charity Sidoroff</dc:creator>
</cp:coreProperties>
</file>